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BD29B2" w:rsidRDefault="00BD29B2" w:rsidP="00BD29B2">
      <w:pPr>
        <w:tabs>
          <w:tab w:val="left" w:pos="14656"/>
        </w:tabs>
        <w:jc w:val="center"/>
        <w:rPr>
          <w:b/>
          <w:sz w:val="20"/>
          <w:szCs w:val="20"/>
        </w:rPr>
      </w:pPr>
      <w:r>
        <w:rPr>
          <w:b/>
        </w:rPr>
        <w:t>KLAIPĖDOS REGOS UGDYMO CENTRO</w:t>
      </w:r>
    </w:p>
    <w:p w:rsidR="00BD29B2" w:rsidRDefault="00BD29B2" w:rsidP="00BD29B2">
      <w:pPr>
        <w:jc w:val="center"/>
        <w:rPr>
          <w:b/>
        </w:rPr>
      </w:pPr>
      <w:r>
        <w:rPr>
          <w:b/>
        </w:rPr>
        <w:t>2021 METŲ VEIKLOS ATASKAITA</w:t>
      </w:r>
    </w:p>
    <w:p w:rsidR="001E1F63" w:rsidRDefault="001E1F63" w:rsidP="00933678">
      <w:pPr>
        <w:ind w:firstLine="709"/>
        <w:jc w:val="both"/>
      </w:pPr>
    </w:p>
    <w:tbl>
      <w:tblPr>
        <w:tblW w:w="9765" w:type="dxa"/>
        <w:tblInd w:w="-147" w:type="dxa"/>
        <w:tblLayout w:type="fixed"/>
        <w:tblLook w:val="0400" w:firstRow="0" w:lastRow="0" w:firstColumn="0" w:lastColumn="0" w:noHBand="0" w:noVBand="1"/>
      </w:tblPr>
      <w:tblGrid>
        <w:gridCol w:w="9765"/>
      </w:tblGrid>
      <w:tr w:rsidR="00847975" w:rsidRPr="00EB3075" w:rsidTr="0034601C">
        <w:tc>
          <w:tcPr>
            <w:tcW w:w="9765" w:type="dxa"/>
            <w:tcMar>
              <w:top w:w="0" w:type="dxa"/>
              <w:left w:w="108" w:type="dxa"/>
              <w:bottom w:w="0" w:type="dxa"/>
              <w:right w:w="108" w:type="dxa"/>
            </w:tcMar>
          </w:tcPr>
          <w:p w:rsidR="00BD29B2" w:rsidRDefault="00BD29B2" w:rsidP="00BD29B2">
            <w:pPr>
              <w:ind w:firstLine="720"/>
              <w:jc w:val="both"/>
            </w:pPr>
            <w:r>
              <w:t xml:space="preserve">Klaipėdos regos ugdymo centras (toliau – Centras) įgyvendina ikimokyklinio, priešmokyklinio ugdymo bei vaikų ir suaugusiųjų neformaliojo ugdymo programas, taiko įtraukiojo ir individualizuoto ugdymo sampratos elementus </w:t>
            </w:r>
            <w:r>
              <w:rPr>
                <w:rFonts w:ascii="SimSun" w:eastAsia="SimSun" w:hAnsi="SimSun" w:cs="SimSun" w:hint="eastAsia"/>
              </w:rPr>
              <w:t xml:space="preserve">– </w:t>
            </w:r>
            <w:r>
              <w:t xml:space="preserve">kiekvieno ugdytinio unikalumo pripažinimas ir paisymas, švietimo pagalbos ir ugdymo programų lankstumas, aprėpiantis bendrojo ir neformaliojo švietimo prieinamumą ikimokyklinio amžiaus vaikams ir integruotai ugdomiems mokiniams bei suaugusiems ugdytiniams, turintiems regos negalią. Plėtojami socialiniai ryšiai ir </w:t>
            </w:r>
            <w:proofErr w:type="spellStart"/>
            <w:r>
              <w:t>tarpinstitucinis</w:t>
            </w:r>
            <w:proofErr w:type="spellEnd"/>
            <w:r>
              <w:t xml:space="preserve"> bendradarbiavimas, teikiant </w:t>
            </w:r>
            <w:proofErr w:type="spellStart"/>
            <w:r>
              <w:t>tiflopedagoginę</w:t>
            </w:r>
            <w:proofErr w:type="spellEnd"/>
            <w:r>
              <w:t xml:space="preserve"> pagalbą mokiniui, mokytojui ir mokyklai. Bendradarbiaujant su socialiniais partneriais, aklieji ir silpnaregiai ruošiami savarankiškam gyvenimui ir tolimesniam mokymuisi bei integracijai į visuomenę. </w:t>
            </w:r>
          </w:p>
          <w:p w:rsidR="00BD29B2" w:rsidRDefault="00BD29B2" w:rsidP="00BD29B2">
            <w:pPr>
              <w:tabs>
                <w:tab w:val="left" w:pos="1134"/>
              </w:tabs>
              <w:ind w:firstLine="600"/>
              <w:jc w:val="both"/>
              <w:rPr>
                <w:strike/>
              </w:rPr>
            </w:pPr>
            <w:r>
              <w:t xml:space="preserve">2021-09-01 duomenimis Centre ugdyti 143 mokiniai, iš jų 60 mokinių – ikimokyklinio ugdymo grupėse, 18 mokinių – priešmokyklinio ugdymo grupėje, Socialinio ugdymo skyriuje </w:t>
            </w:r>
            <w:r>
              <w:rPr>
                <w:rFonts w:ascii="SimSun" w:eastAsia="SimSun" w:hAnsi="SimSun" w:cs="SimSun"/>
              </w:rPr>
              <w:t>－</w:t>
            </w:r>
            <w:r>
              <w:t xml:space="preserve"> 31 mokinys su regos negalia, integruotai ugdomas kitose švietimo institucijose Klaipėdos mieste, ir 34 suaugę ugdytiniai su regos negalia. </w:t>
            </w:r>
          </w:p>
          <w:p w:rsidR="00BD29B2" w:rsidRDefault="00BD29B2" w:rsidP="00BD29B2">
            <w:pPr>
              <w:tabs>
                <w:tab w:val="left" w:pos="924"/>
              </w:tabs>
              <w:ind w:firstLine="603"/>
              <w:jc w:val="both"/>
            </w:pPr>
            <w:r>
              <w:t xml:space="preserve">Praėjusiais metais Centras veikė vadovaudamasis 2021–2023 m. strateginiu planu (toliau – Strateginis planas) ir 2021 m. veiklos planu (toliau – Veiklos planas). Centro bendruomenė 2021 m. išsikėlė šias prioritetinės veiklos kryptis: 1) švietimo pagalbos ir socialinio ugdymo kokybės gerinimas; 2) bendradarbiavimo ir lyderystės stiprinimas; 3) </w:t>
            </w:r>
            <w:proofErr w:type="spellStart"/>
            <w:r>
              <w:t>patyriminis</w:t>
            </w:r>
            <w:proofErr w:type="spellEnd"/>
            <w:r>
              <w:t xml:space="preserve"> mokinių ugdymas(sis). Strateginiame ir Veiklos planuose buvo iškelti konkretūs veiklos tikslai ir uždaviniai, numatytos priemonės laukiamam rezultatui pasiekti. </w:t>
            </w:r>
          </w:p>
          <w:p w:rsidR="00BD29B2" w:rsidRDefault="00BD29B2" w:rsidP="00BD29B2">
            <w:pPr>
              <w:ind w:firstLine="603"/>
              <w:jc w:val="both"/>
              <w:rPr>
                <w:strike/>
              </w:rPr>
            </w:pPr>
            <w:r>
              <w:t>Siekiant Strateginio plano pirmojo tikslo – užtikrinti kokybišką ugdymo proceso organizavimą</w:t>
            </w:r>
            <w:r>
              <w:rPr>
                <w:color w:val="FF0000"/>
              </w:rPr>
              <w:t xml:space="preserve"> </w:t>
            </w:r>
            <w:r>
              <w:t xml:space="preserve">– Centro veikla buvo orientuojama į ugdymo sąlygų ir ugdymo proceso kokybės gerinimą. Tikslams pasiekti buvo vykdomi du Veiklos plano uždaviniai: </w:t>
            </w:r>
          </w:p>
          <w:p w:rsidR="00061EBC" w:rsidRDefault="00BD29B2" w:rsidP="00061EBC">
            <w:pPr>
              <w:tabs>
                <w:tab w:val="left" w:pos="420"/>
              </w:tabs>
              <w:ind w:firstLine="732"/>
              <w:jc w:val="both"/>
            </w:pPr>
            <w:r>
              <w:t>– įgyvendinant pirmąjį uždavinį – užtikrinti saugią ir emociškai pozityvią aplinką, pagrįstą tolerancija, darniu bendradarbiavimu ir lyderyste – buvo ugdomi 143 ugdytiniai ir vykdomas neformalus švietimas, tenkinant gebėjimų, saviraiškos poreikius pagal devynias Centre įgyvendinamas ikimokyklinio, priešmokyklinio ugdymo bei vaikų ir suaugusiųjų neformaliojo švietimo programas, du ilgalaikius tęstinius tarptautinius projektus: prevencinę smurto ir patyčių programą „</w:t>
            </w:r>
            <w:proofErr w:type="spellStart"/>
            <w:r>
              <w:t>Zipio</w:t>
            </w:r>
            <w:proofErr w:type="spellEnd"/>
            <w:r>
              <w:t xml:space="preserve"> draugai”, socialinių įgūdžių ugdymo programą „</w:t>
            </w:r>
            <w:proofErr w:type="spellStart"/>
            <w:r>
              <w:t>Kimochis</w:t>
            </w:r>
            <w:proofErr w:type="spellEnd"/>
            <w:r>
              <w:t>”. Bendradarbiaujant su šalies ir tarptautinėmis organizacijomis, 63 mokiniams su regos negalia organizuota tarptautinė stovykla „Pažinimo stebuklas – 2021”. Mokytojų ir metodinė tarybos, atsižvelgdamos į vidaus audito ir įsivertinimo rezultatus, vykdė pedagogų ir kitų specialistų kvalifikacijos tobulinimo programą, organizavo metodinius renginius: „Neregių savivertės ir santykio su aplinka ypatumai”, „Ypatingo laikmečio iššūkiai ir perspektyvos”, „Mokiniui palankios aplinkos kūrimas ir palaikymas”. Dalinosi praktine darbo patirtimi, organizavo atviras veiklas, taikant veiksmingesnius ugdymo(</w:t>
            </w:r>
            <w:proofErr w:type="spellStart"/>
            <w:r>
              <w:t>si</w:t>
            </w:r>
            <w:proofErr w:type="spellEnd"/>
            <w:r>
              <w:t xml:space="preserve">) būdus: nuotolinio ugdymo patirtis, ugdant mokinius, turinčius regos sutrikimus, išmaniosios technologijos neregio gyvenime, M. Montessori metodo elementų pritaikymas mokinių </w:t>
            </w:r>
            <w:proofErr w:type="spellStart"/>
            <w:r>
              <w:t>sensomotoriniam</w:t>
            </w:r>
            <w:proofErr w:type="spellEnd"/>
            <w:r>
              <w:t xml:space="preserve"> lavinimui. Suburtos pedagogų komandos įgyvendino edukacinius ir kultūrinius bendruomenės projektus: tolerancijos ugdymo „Aš galiu </w:t>
            </w:r>
            <w:r>
              <w:rPr>
                <w:rFonts w:ascii="SimSun" w:eastAsia="SimSun" w:hAnsi="SimSun" w:cs="SimSun"/>
              </w:rPr>
              <w:t>－</w:t>
            </w:r>
            <w:r>
              <w:t xml:space="preserve"> veikime drauge”, </w:t>
            </w:r>
            <w:proofErr w:type="spellStart"/>
            <w:r>
              <w:t>patyriminio</w:t>
            </w:r>
            <w:proofErr w:type="spellEnd"/>
            <w:r>
              <w:t xml:space="preserve"> ugdymo „STEAM laboratorija”, sveikos ir saugios gyvensenos „Augu sveikas ir saugus”. Vidutiniškai 4 dienas per metus 22 pedagogai ir 3 vadovai tobulino kvalifikaciją pagal Centro ilgalaikę kvalifikacijos tobulinimo programą „Asmeninis meistriškumas, ugdymo(</w:t>
            </w:r>
            <w:proofErr w:type="spellStart"/>
            <w:r>
              <w:t>si</w:t>
            </w:r>
            <w:proofErr w:type="spellEnd"/>
            <w:r>
              <w:t xml:space="preserve">) organizavimas ir orientavimasis į mokinių poreikius”. 7 mokytojų padėjėjai vidutiniškai 2 dienas dalyvavo kvalifikacijos tobulinimo renginiuose ir įgijo žinių apie ikimokyklinio / priešmokyklinio amžiaus vaikų psichologijos ir raidos ypatumus. Įgyvendintas Švietimo mainų paramos fondo finansuojamas </w:t>
            </w:r>
            <w:r>
              <w:lastRenderedPageBreak/>
              <w:t>„</w:t>
            </w:r>
            <w:proofErr w:type="spellStart"/>
            <w:r>
              <w:t>Erasmus</w:t>
            </w:r>
            <w:proofErr w:type="spellEnd"/>
            <w:r>
              <w:t xml:space="preserve"> +“ bendrojo ugdymo mobilumo projektas „Asmenų su regos negalia socialinės ir kultūrinės integracijos aspektai”, kuriame 10 darbuotojų 5 dienas tobulino kvalifikaciją nuotoliniu būdu bei dalinosi profesine patirtimi Suomijos aklųjų ir silpnaregių organizacijose;</w:t>
            </w:r>
          </w:p>
          <w:p w:rsidR="00BD29B2" w:rsidRPr="00EA1450" w:rsidRDefault="00061EBC" w:rsidP="00061EBC">
            <w:pPr>
              <w:tabs>
                <w:tab w:val="left" w:pos="420"/>
              </w:tabs>
              <w:ind w:firstLine="732"/>
              <w:jc w:val="both"/>
            </w:pPr>
            <w:r w:rsidRPr="00061EBC">
              <w:rPr>
                <w:bCs/>
                <w:color w:val="000000"/>
                <w:lang w:eastAsia="lt-LT"/>
              </w:rPr>
              <w:t>–</w:t>
            </w:r>
            <w:r>
              <w:t xml:space="preserve"> </w:t>
            </w:r>
            <w:r w:rsidR="00BD29B2" w:rsidRPr="00EA1450">
              <w:t xml:space="preserve">įgyvendinant antrąjį uždavinį </w:t>
            </w:r>
            <w:r w:rsidR="00BD29B2" w:rsidRPr="00061EBC">
              <w:rPr>
                <w:rFonts w:eastAsia="SimSun"/>
              </w:rPr>
              <w:t>– s</w:t>
            </w:r>
            <w:r w:rsidR="00BD29B2" w:rsidRPr="00EA1450">
              <w:t>iekti geresnės švietimo pagalbos ir įtraukiojo ugdymo(</w:t>
            </w:r>
            <w:proofErr w:type="spellStart"/>
            <w:r w:rsidR="00BD29B2" w:rsidRPr="00EA1450">
              <w:t>si</w:t>
            </w:r>
            <w:proofErr w:type="spellEnd"/>
            <w:r w:rsidR="00BD29B2" w:rsidRPr="00EA1450">
              <w:t xml:space="preserve">) kokybės </w:t>
            </w:r>
            <w:r w:rsidR="00BD29B2" w:rsidRPr="00061EBC">
              <w:rPr>
                <w:rFonts w:eastAsia="SimSun"/>
              </w:rPr>
              <w:t xml:space="preserve">– buvo </w:t>
            </w:r>
            <w:r w:rsidR="00BD29B2" w:rsidRPr="00EA1450">
              <w:t xml:space="preserve">tikslingai organizuota švietimo pagalba ugdytiniams, patiriantiems mokymosi sunkumų dėl regos sutrikimo ir / ar dėl sulėtėjusios raidos: specialioji ir </w:t>
            </w:r>
            <w:proofErr w:type="spellStart"/>
            <w:r w:rsidR="00BD29B2" w:rsidRPr="00EA1450">
              <w:t>tiflopedagoginė</w:t>
            </w:r>
            <w:proofErr w:type="spellEnd"/>
            <w:r w:rsidR="00BD29B2" w:rsidRPr="00EA1450">
              <w:t xml:space="preserve"> pagalba teikta 65 mokiniams, iš jų – 31 mokiniui su regos negalia, kurie integruotai ugdomi kitose miesto mokyklose, ir 34 suaugusiems, netekusiems regėjimo; 6</w:t>
            </w:r>
            <w:r w:rsidR="00BD29B2" w:rsidRPr="00061EBC">
              <w:rPr>
                <w:color w:val="000000"/>
              </w:rPr>
              <w:t xml:space="preserve"> vaikams ugdymas vykdytas pagal pritaikytas programas ir jiems buvo teikiama mokytojo padėjėjo bei judesio korekcijos mokytojo pagalba; </w:t>
            </w:r>
            <w:proofErr w:type="spellStart"/>
            <w:r w:rsidR="00BD29B2" w:rsidRPr="00EA1450">
              <w:t>logopedinė</w:t>
            </w:r>
            <w:proofErr w:type="spellEnd"/>
            <w:r w:rsidR="00BD29B2" w:rsidRPr="00EA1450">
              <w:t xml:space="preserve"> pagalba teikta 35 vaikams, iš jų 20 procentų vaikų kalbos ir kalbėjimo sutrikimai pašalinti, 80 procentų vaikų tęsiama </w:t>
            </w:r>
            <w:proofErr w:type="spellStart"/>
            <w:r w:rsidR="00BD29B2" w:rsidRPr="00EA1450">
              <w:t>logopedinė</w:t>
            </w:r>
            <w:proofErr w:type="spellEnd"/>
            <w:r w:rsidR="00BD29B2" w:rsidRPr="00EA1450">
              <w:t xml:space="preserve"> pagalba. Regos korekcinė pagalba teikta 78 vaikams, iš jų 83 procentams vaikų koreguotas žvairumas arba stebimas pagerėjimas, lavinant matymą ir žvilgsnio fiksaciją, 17 procentų vaikų dėl įgimtų sutrikimų arba susirgimų pakitimų nepastebėta. Regą kompensuojančių įgūdžių ugdymas vykdytas pagal šias veiklos sritis: mobilumo ir orientacijos, naudojantis baltąja lazdele; kasdienių gyvenimo įgūdžių ugdymas; Brailio rašto mokymas; kompiuterinio raštingumo įgūdžių formavimas ir tobulinimas; regimojo suvokimo ir vizualinių funkcijų bei </w:t>
            </w:r>
            <w:proofErr w:type="spellStart"/>
            <w:r w:rsidR="00BD29B2" w:rsidRPr="00EA1450">
              <w:t>sensorikos</w:t>
            </w:r>
            <w:proofErr w:type="spellEnd"/>
            <w:r w:rsidR="00BD29B2" w:rsidRPr="00EA1450">
              <w:t xml:space="preserve"> ir pojūčių lavinimas. Visoms mokinių amžiaus grupėms ir suaugusiems asmenims su regos negalia organizuotas ugdymas pagal meninio (muzikos) ugdymo, keramikos, tapybos ir piešimo programas bei judesio korekcijos programas. Karantino metu švietimo pagalba buvo teikiama individualiai nuotoliniu būdu. Pedagogai daug dėmesio skyrė bendradarbiavimui su mokinių tėvais, bendrojo ugdymo mokytojais. Juos konsultavo, derino pastarųjų galimybes atlikti užduotis nuotoliniu būdu ir pagal mokinių su regos negalia gebėjimus pritaikė užduotis, kurių atlikimui nereikėtų arba minimaliai reikėtų naudotis informacinėmis technologijomis. </w:t>
            </w:r>
          </w:p>
          <w:p w:rsidR="00BD29B2" w:rsidRDefault="00BD29B2" w:rsidP="00BD29B2">
            <w:pPr>
              <w:ind w:firstLine="603"/>
              <w:jc w:val="both"/>
            </w:pPr>
            <w:r>
              <w:t>Siekiant Strateginio plano antrojo tikslo – užtikrinti sveiką, saugią ir šiuolaikinius ugdymo(</w:t>
            </w:r>
            <w:proofErr w:type="spellStart"/>
            <w:r>
              <w:t>si</w:t>
            </w:r>
            <w:proofErr w:type="spellEnd"/>
            <w:r>
              <w:t>) reikalavimus atliepiančią aplinką – Centro veikla buvo orientuojama į edukacinių aplinkų kūrimą ir šiuolaikinių ugdymo(</w:t>
            </w:r>
            <w:proofErr w:type="spellStart"/>
            <w:r>
              <w:t>si</w:t>
            </w:r>
            <w:proofErr w:type="spellEnd"/>
            <w:r>
              <w:t xml:space="preserve">) priemonių įsigijimą. Tikslui pasiekti buvo vykdomas vienas Veiklos plano uždavinys – naujausių informacinių technologijų ir ugdymo priemonių įsigijimas – pagal kurį buvo sudarytos sąlygos vidaus procesus valdyti panaudojant „Microsoft </w:t>
            </w:r>
            <w:proofErr w:type="spellStart"/>
            <w:r>
              <w:t>Teams</w:t>
            </w:r>
            <w:proofErr w:type="spellEnd"/>
            <w:r>
              <w:t xml:space="preserve">“ platformą. Pagerintos sąlygos ir modernizuotos edukacinės erdvės mokinių </w:t>
            </w:r>
            <w:proofErr w:type="spellStart"/>
            <w:r>
              <w:t>sensomotorinei</w:t>
            </w:r>
            <w:proofErr w:type="spellEnd"/>
            <w:r>
              <w:t xml:space="preserve"> ir aktyviai fizinei veiklai ugdyti, smulkiajai motorikai lavinti. </w:t>
            </w:r>
          </w:p>
          <w:p w:rsidR="00BD29B2" w:rsidRDefault="00BD29B2" w:rsidP="00BD29B2">
            <w:pPr>
              <w:ind w:firstLine="603"/>
              <w:jc w:val="both"/>
            </w:pPr>
            <w:r>
              <w:t xml:space="preserve">Rėmėjų lėšomis atnaujinta dalis informacinės įrangos: už 3500 eurų įsigyti 4 </w:t>
            </w:r>
            <w:proofErr w:type="spellStart"/>
            <w:r>
              <w:t>multifunkciniai</w:t>
            </w:r>
            <w:proofErr w:type="spellEnd"/>
            <w:r>
              <w:t xml:space="preserve"> spausdintuvai, 3 kompiuteriai ir už 3600 eurų – interaktyvios edukacinės grindys.</w:t>
            </w:r>
            <w:bookmarkStart w:id="2" w:name="_GoBack"/>
            <w:bookmarkEnd w:id="2"/>
          </w:p>
          <w:p w:rsidR="00BD29B2" w:rsidRDefault="00BD29B2" w:rsidP="00BD29B2">
            <w:pPr>
              <w:ind w:firstLine="603"/>
              <w:jc w:val="both"/>
            </w:pPr>
            <w:r>
              <w:t>2021 m. Centro finansinė situacija buvo tokia:</w:t>
            </w:r>
          </w:p>
          <w:tbl>
            <w:tblPr>
              <w:tblStyle w:val="Style30"/>
              <w:tblW w:w="9563"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494"/>
              <w:gridCol w:w="1438"/>
              <w:gridCol w:w="1283"/>
              <w:gridCol w:w="3113"/>
            </w:tblGrid>
            <w:tr w:rsidR="00BD29B2" w:rsidTr="00185C67">
              <w:tc>
                <w:tcPr>
                  <w:tcW w:w="2236" w:type="dxa"/>
                  <w:vMerge w:val="restart"/>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Finansavimo šaltinis</w:t>
                  </w:r>
                </w:p>
              </w:tc>
              <w:tc>
                <w:tcPr>
                  <w:tcW w:w="4215" w:type="dxa"/>
                  <w:gridSpan w:val="3"/>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Lėšos (tūkst. eurų)</w:t>
                  </w:r>
                </w:p>
              </w:tc>
              <w:tc>
                <w:tcPr>
                  <w:tcW w:w="3113" w:type="dxa"/>
                  <w:vMerge w:val="restart"/>
                  <w:tcBorders>
                    <w:top w:val="single" w:sz="4" w:space="0" w:color="000000"/>
                    <w:left w:val="single" w:sz="4" w:space="0" w:color="000000"/>
                    <w:right w:val="single" w:sz="4" w:space="0" w:color="000000"/>
                  </w:tcBorders>
                </w:tcPr>
                <w:p w:rsidR="00BD29B2" w:rsidRDefault="00BD29B2" w:rsidP="00BD29B2">
                  <w:pPr>
                    <w:jc w:val="both"/>
                  </w:pPr>
                  <w:r>
                    <w:t>Pastabos</w:t>
                  </w:r>
                </w:p>
                <w:p w:rsidR="00BD29B2" w:rsidRDefault="00BD29B2" w:rsidP="00BD29B2">
                  <w:pPr>
                    <w:jc w:val="center"/>
                  </w:pPr>
                </w:p>
              </w:tc>
            </w:tr>
            <w:tr w:rsidR="00BD29B2" w:rsidTr="00185C67">
              <w:tc>
                <w:tcPr>
                  <w:tcW w:w="2236" w:type="dxa"/>
                  <w:vMerge/>
                  <w:tcBorders>
                    <w:top w:val="single" w:sz="4" w:space="0" w:color="000000"/>
                    <w:left w:val="single" w:sz="4" w:space="0" w:color="000000"/>
                    <w:bottom w:val="single" w:sz="4" w:space="0" w:color="000000"/>
                    <w:right w:val="single" w:sz="4" w:space="0" w:color="000000"/>
                  </w:tcBorders>
                </w:tcPr>
                <w:p w:rsidR="00BD29B2" w:rsidRDefault="00BD29B2" w:rsidP="00BD29B2">
                  <w:pPr>
                    <w:widowControl w:val="0"/>
                    <w:spacing w:line="276" w:lineRule="auto"/>
                  </w:pPr>
                </w:p>
              </w:tc>
              <w:tc>
                <w:tcPr>
                  <w:tcW w:w="1494" w:type="dxa"/>
                  <w:tcBorders>
                    <w:top w:val="single" w:sz="4" w:space="0" w:color="000000"/>
                    <w:left w:val="single" w:sz="4" w:space="0" w:color="000000"/>
                    <w:bottom w:val="single" w:sz="4" w:space="0" w:color="000000"/>
                    <w:right w:val="single" w:sz="4" w:space="0" w:color="000000"/>
                  </w:tcBorders>
                </w:tcPr>
                <w:p w:rsidR="00BD29B2" w:rsidRDefault="00BD29B2" w:rsidP="00BD29B2">
                  <w:r>
                    <w:t>Planas (patikslintas)</w:t>
                  </w:r>
                </w:p>
              </w:tc>
              <w:tc>
                <w:tcPr>
                  <w:tcW w:w="1438" w:type="dxa"/>
                  <w:tcBorders>
                    <w:top w:val="single" w:sz="4" w:space="0" w:color="000000"/>
                    <w:left w:val="single" w:sz="4" w:space="0" w:color="000000"/>
                    <w:bottom w:val="single" w:sz="4" w:space="0" w:color="000000"/>
                    <w:right w:val="single" w:sz="4" w:space="0" w:color="000000"/>
                  </w:tcBorders>
                </w:tcPr>
                <w:p w:rsidR="00BD29B2" w:rsidRDefault="00BD29B2" w:rsidP="00BD29B2">
                  <w:r>
                    <w:t>Panaudota lėšų</w:t>
                  </w:r>
                </w:p>
              </w:tc>
              <w:tc>
                <w:tcPr>
                  <w:tcW w:w="1283" w:type="dxa"/>
                  <w:tcBorders>
                    <w:top w:val="single" w:sz="4" w:space="0" w:color="000000"/>
                    <w:left w:val="single" w:sz="4" w:space="0" w:color="000000"/>
                    <w:bottom w:val="single" w:sz="4" w:space="0" w:color="000000"/>
                    <w:right w:val="single" w:sz="4" w:space="0" w:color="000000"/>
                  </w:tcBorders>
                </w:tcPr>
                <w:p w:rsidR="00BD29B2" w:rsidRDefault="00BD29B2" w:rsidP="00BD29B2">
                  <w:r>
                    <w:t>Įvykdymas (%)</w:t>
                  </w:r>
                </w:p>
              </w:tc>
              <w:tc>
                <w:tcPr>
                  <w:tcW w:w="3113" w:type="dxa"/>
                  <w:vMerge/>
                  <w:tcBorders>
                    <w:top w:val="single" w:sz="4" w:space="0" w:color="000000"/>
                    <w:left w:val="single" w:sz="4" w:space="0" w:color="000000"/>
                    <w:right w:val="single" w:sz="4" w:space="0" w:color="000000"/>
                  </w:tcBorders>
                </w:tcPr>
                <w:p w:rsidR="00BD29B2" w:rsidRDefault="00BD29B2" w:rsidP="00BD29B2">
                  <w:pPr>
                    <w:widowControl w:val="0"/>
                    <w:spacing w:line="276" w:lineRule="auto"/>
                  </w:pPr>
                </w:p>
              </w:tc>
            </w:tr>
            <w:tr w:rsidR="00BD29B2" w:rsidTr="00185C67">
              <w:trPr>
                <w:trHeight w:val="415"/>
              </w:trPr>
              <w:tc>
                <w:tcPr>
                  <w:tcW w:w="2236" w:type="dxa"/>
                  <w:tcBorders>
                    <w:top w:val="single" w:sz="4" w:space="0" w:color="000000"/>
                    <w:left w:val="single" w:sz="4" w:space="0" w:color="000000"/>
                    <w:bottom w:val="single" w:sz="4" w:space="0" w:color="000000"/>
                    <w:right w:val="single" w:sz="4" w:space="0" w:color="000000"/>
                  </w:tcBorders>
                </w:tcPr>
                <w:p w:rsidR="00BD29B2" w:rsidRDefault="00BD29B2" w:rsidP="00BD29B2">
                  <w:r>
                    <w:t>Savivaldybės biudžetas (SB)</w:t>
                  </w:r>
                </w:p>
              </w:tc>
              <w:tc>
                <w:tcPr>
                  <w:tcW w:w="1494"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544,00</w:t>
                  </w:r>
                </w:p>
              </w:tc>
              <w:tc>
                <w:tcPr>
                  <w:tcW w:w="1438"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538,642</w:t>
                  </w:r>
                </w:p>
              </w:tc>
              <w:tc>
                <w:tcPr>
                  <w:tcW w:w="128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99,0</w:t>
                  </w:r>
                </w:p>
              </w:tc>
              <w:tc>
                <w:tcPr>
                  <w:tcW w:w="311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both"/>
                  </w:pPr>
                  <w:r>
                    <w:t xml:space="preserve">Dėl darbuotojų nedarbingumo nepanaudoti darbo užmokesčio ir socialinio draudimo asignavimai </w:t>
                  </w:r>
                </w:p>
              </w:tc>
            </w:tr>
            <w:tr w:rsidR="00BD29B2" w:rsidTr="00185C67">
              <w:tc>
                <w:tcPr>
                  <w:tcW w:w="2236" w:type="dxa"/>
                  <w:tcBorders>
                    <w:top w:val="single" w:sz="4" w:space="0" w:color="000000"/>
                    <w:left w:val="single" w:sz="4" w:space="0" w:color="000000"/>
                    <w:bottom w:val="single" w:sz="4" w:space="0" w:color="000000"/>
                    <w:right w:val="single" w:sz="4" w:space="0" w:color="000000"/>
                  </w:tcBorders>
                </w:tcPr>
                <w:p w:rsidR="00BD29B2" w:rsidRDefault="00BD29B2" w:rsidP="00BD29B2">
                  <w:r>
                    <w:t>Specialioji tikslinė dotacija (VB)</w:t>
                  </w:r>
                </w:p>
              </w:tc>
              <w:tc>
                <w:tcPr>
                  <w:tcW w:w="1494"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195,800</w:t>
                  </w:r>
                </w:p>
              </w:tc>
              <w:tc>
                <w:tcPr>
                  <w:tcW w:w="1438"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195,281</w:t>
                  </w:r>
                </w:p>
              </w:tc>
              <w:tc>
                <w:tcPr>
                  <w:tcW w:w="128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99,0</w:t>
                  </w:r>
                </w:p>
              </w:tc>
              <w:tc>
                <w:tcPr>
                  <w:tcW w:w="311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both"/>
                  </w:pPr>
                  <w:r>
                    <w:t xml:space="preserve">Nuo rugsėjo 1 d. 2 mokytojai metodininkai baigė pedagoginę veiklą, o nuo rugsėjo 1 d. priimtiems jauniems specialistams buvo taikomas 19,8 proc. mažesnis  darbo užmokesčio koeficientas </w:t>
                  </w:r>
                </w:p>
              </w:tc>
            </w:tr>
            <w:tr w:rsidR="00BD29B2" w:rsidTr="00185C67">
              <w:tc>
                <w:tcPr>
                  <w:tcW w:w="2236" w:type="dxa"/>
                  <w:tcBorders>
                    <w:top w:val="single" w:sz="4" w:space="0" w:color="000000"/>
                    <w:left w:val="single" w:sz="4" w:space="0" w:color="000000"/>
                    <w:bottom w:val="single" w:sz="4" w:space="0" w:color="000000"/>
                    <w:right w:val="single" w:sz="4" w:space="0" w:color="000000"/>
                  </w:tcBorders>
                </w:tcPr>
                <w:p w:rsidR="00BD29B2" w:rsidRDefault="00BD29B2" w:rsidP="00BD29B2">
                  <w:r>
                    <w:t>Įstaigos gautos pajamos (surinkta pajamų SP), iš jų:</w:t>
                  </w:r>
                </w:p>
              </w:tc>
              <w:tc>
                <w:tcPr>
                  <w:tcW w:w="1494"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38,800</w:t>
                  </w:r>
                </w:p>
              </w:tc>
              <w:tc>
                <w:tcPr>
                  <w:tcW w:w="1438"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both"/>
                    <w:rPr>
                      <w:highlight w:val="yellow"/>
                    </w:rPr>
                  </w:pPr>
                  <w:r>
                    <w:t>31,269</w:t>
                  </w:r>
                </w:p>
              </w:tc>
              <w:tc>
                <w:tcPr>
                  <w:tcW w:w="128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rPr>
                      <w:highlight w:val="yellow"/>
                    </w:rPr>
                  </w:pPr>
                  <w:r>
                    <w:t>80,6</w:t>
                  </w:r>
                </w:p>
              </w:tc>
              <w:tc>
                <w:tcPr>
                  <w:tcW w:w="311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both"/>
                  </w:pPr>
                  <w:r>
                    <w:t xml:space="preserve">Dėl nepakankamo vaikų lankomumo </w:t>
                  </w:r>
                  <w:proofErr w:type="spellStart"/>
                  <w:r>
                    <w:t>pandeminiu</w:t>
                  </w:r>
                  <w:proofErr w:type="spellEnd"/>
                  <w:r>
                    <w:t xml:space="preserve"> </w:t>
                  </w:r>
                  <w:r>
                    <w:lastRenderedPageBreak/>
                    <w:t xml:space="preserve">laikotarpiu, surinkta mažiau lėšų </w:t>
                  </w:r>
                </w:p>
              </w:tc>
            </w:tr>
            <w:tr w:rsidR="00BD29B2" w:rsidTr="00185C67">
              <w:trPr>
                <w:trHeight w:val="477"/>
              </w:trPr>
              <w:tc>
                <w:tcPr>
                  <w:tcW w:w="2236" w:type="dxa"/>
                  <w:tcBorders>
                    <w:top w:val="single" w:sz="4" w:space="0" w:color="000000"/>
                    <w:left w:val="single" w:sz="4" w:space="0" w:color="000000"/>
                    <w:bottom w:val="single" w:sz="4" w:space="0" w:color="000000"/>
                    <w:right w:val="single" w:sz="4" w:space="0" w:color="000000"/>
                  </w:tcBorders>
                </w:tcPr>
                <w:p w:rsidR="00BD29B2" w:rsidRDefault="00BD29B2" w:rsidP="00BD29B2">
                  <w:r>
                    <w:lastRenderedPageBreak/>
                    <w:t>Pajamų išlaidos (SP) finansavimo šaltinis 331</w:t>
                  </w:r>
                </w:p>
              </w:tc>
              <w:tc>
                <w:tcPr>
                  <w:tcW w:w="1494"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31,269</w:t>
                  </w:r>
                </w:p>
              </w:tc>
              <w:tc>
                <w:tcPr>
                  <w:tcW w:w="1438"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30,517</w:t>
                  </w:r>
                </w:p>
              </w:tc>
              <w:tc>
                <w:tcPr>
                  <w:tcW w:w="128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97,6</w:t>
                  </w:r>
                </w:p>
              </w:tc>
              <w:tc>
                <w:tcPr>
                  <w:tcW w:w="311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both"/>
                  </w:pPr>
                  <w:proofErr w:type="spellStart"/>
                  <w:r>
                    <w:t>Pandeminiu</w:t>
                  </w:r>
                  <w:proofErr w:type="spellEnd"/>
                  <w:r>
                    <w:t xml:space="preserve"> laikotarpiu, sumažėjus lankančių vaikų skaičiui, nepanaudoti asignavimai prekėms</w:t>
                  </w:r>
                </w:p>
              </w:tc>
            </w:tr>
            <w:tr w:rsidR="00BD29B2" w:rsidTr="00185C67">
              <w:trPr>
                <w:trHeight w:val="477"/>
              </w:trPr>
              <w:tc>
                <w:tcPr>
                  <w:tcW w:w="2236" w:type="dxa"/>
                  <w:tcBorders>
                    <w:top w:val="single" w:sz="4" w:space="0" w:color="000000"/>
                    <w:left w:val="single" w:sz="4" w:space="0" w:color="000000"/>
                    <w:bottom w:val="single" w:sz="4" w:space="0" w:color="000000"/>
                    <w:right w:val="single" w:sz="4" w:space="0" w:color="000000"/>
                  </w:tcBorders>
                </w:tcPr>
                <w:p w:rsidR="00BD29B2" w:rsidRDefault="00BD29B2" w:rsidP="00BD29B2">
                  <w:r>
                    <w:t>Pajamų išlaidos (SP)</w:t>
                  </w:r>
                </w:p>
                <w:p w:rsidR="00BD29B2" w:rsidRDefault="00BD29B2" w:rsidP="00BD29B2">
                  <w:r>
                    <w:t xml:space="preserve">finansavimo šaltinis 321 </w:t>
                  </w:r>
                </w:p>
              </w:tc>
              <w:tc>
                <w:tcPr>
                  <w:tcW w:w="1494"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82,50</w:t>
                  </w:r>
                </w:p>
              </w:tc>
              <w:tc>
                <w:tcPr>
                  <w:tcW w:w="1438"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w:t>
                  </w:r>
                </w:p>
              </w:tc>
              <w:tc>
                <w:tcPr>
                  <w:tcW w:w="128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w:t>
                  </w:r>
                </w:p>
              </w:tc>
              <w:tc>
                <w:tcPr>
                  <w:tcW w:w="3113" w:type="dxa"/>
                  <w:tcBorders>
                    <w:top w:val="single" w:sz="4" w:space="0" w:color="000000"/>
                    <w:left w:val="single" w:sz="4" w:space="0" w:color="000000"/>
                    <w:bottom w:val="single" w:sz="4" w:space="0" w:color="000000"/>
                    <w:right w:val="single" w:sz="4" w:space="0" w:color="000000"/>
                  </w:tcBorders>
                </w:tcPr>
                <w:p w:rsidR="00BD29B2" w:rsidRDefault="00BD29B2" w:rsidP="00BD29B2">
                  <w:r>
                    <w:t>Numatyta remonto prekėms</w:t>
                  </w:r>
                </w:p>
              </w:tc>
            </w:tr>
            <w:tr w:rsidR="00BD29B2" w:rsidTr="00185C67">
              <w:trPr>
                <w:trHeight w:val="125"/>
              </w:trPr>
              <w:tc>
                <w:tcPr>
                  <w:tcW w:w="2236" w:type="dxa"/>
                  <w:tcBorders>
                    <w:top w:val="single" w:sz="4" w:space="0" w:color="000000"/>
                    <w:left w:val="single" w:sz="4" w:space="0" w:color="000000"/>
                    <w:bottom w:val="single" w:sz="4" w:space="0" w:color="000000"/>
                    <w:right w:val="single" w:sz="4" w:space="0" w:color="000000"/>
                  </w:tcBorders>
                </w:tcPr>
                <w:p w:rsidR="00BD29B2" w:rsidRDefault="00BD29B2" w:rsidP="00BD29B2">
                  <w:r>
                    <w:t>Projektų finansavimas (ES; VB;SB)</w:t>
                  </w:r>
                </w:p>
              </w:tc>
              <w:tc>
                <w:tcPr>
                  <w:tcW w:w="1494"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13,066</w:t>
                  </w:r>
                </w:p>
              </w:tc>
              <w:tc>
                <w:tcPr>
                  <w:tcW w:w="1438"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3,275</w:t>
                  </w:r>
                </w:p>
              </w:tc>
              <w:tc>
                <w:tcPr>
                  <w:tcW w:w="128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25,0</w:t>
                  </w:r>
                </w:p>
              </w:tc>
              <w:tc>
                <w:tcPr>
                  <w:tcW w:w="311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both"/>
                  </w:pPr>
                  <w:r>
                    <w:t>Dėl „</w:t>
                  </w:r>
                  <w:proofErr w:type="spellStart"/>
                  <w:r>
                    <w:t>Erasmus</w:t>
                  </w:r>
                  <w:proofErr w:type="spellEnd"/>
                  <w:r>
                    <w:t xml:space="preserve"> +“ projekto vykdymo nuotoliniu būdu nepanaudota 75 % lėšų, skirtų kelionei ir pragyvenimui</w:t>
                  </w:r>
                </w:p>
              </w:tc>
            </w:tr>
            <w:tr w:rsidR="00BD29B2" w:rsidTr="00185C67">
              <w:tc>
                <w:tcPr>
                  <w:tcW w:w="2236" w:type="dxa"/>
                  <w:tcBorders>
                    <w:top w:val="single" w:sz="4" w:space="0" w:color="000000"/>
                    <w:left w:val="single" w:sz="4" w:space="0" w:color="000000"/>
                    <w:bottom w:val="single" w:sz="4" w:space="0" w:color="000000"/>
                    <w:right w:val="single" w:sz="4" w:space="0" w:color="000000"/>
                  </w:tcBorders>
                </w:tcPr>
                <w:p w:rsidR="00BD29B2" w:rsidRDefault="00BD29B2" w:rsidP="00BD29B2">
                  <w:r>
                    <w:t>Kitos lėšos (parama 2 % GM ir kt.)</w:t>
                  </w:r>
                </w:p>
              </w:tc>
              <w:tc>
                <w:tcPr>
                  <w:tcW w:w="1494"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21,909</w:t>
                  </w:r>
                </w:p>
              </w:tc>
              <w:tc>
                <w:tcPr>
                  <w:tcW w:w="1438"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20,417</w:t>
                  </w:r>
                </w:p>
              </w:tc>
              <w:tc>
                <w:tcPr>
                  <w:tcW w:w="128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93,2</w:t>
                  </w:r>
                </w:p>
              </w:tc>
              <w:tc>
                <w:tcPr>
                  <w:tcW w:w="311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both"/>
                  </w:pPr>
                  <w:r>
                    <w:t>Pagal sutartinius įsipareigojimus rėmėjams projektų įgyvendinimui panaudota 100 % lėšų. 6,8 % paramos lėšų yra 1,2 % GM</w:t>
                  </w:r>
                </w:p>
              </w:tc>
            </w:tr>
            <w:tr w:rsidR="00BD29B2" w:rsidTr="00185C67">
              <w:trPr>
                <w:trHeight w:val="430"/>
              </w:trPr>
              <w:tc>
                <w:tcPr>
                  <w:tcW w:w="2236" w:type="dxa"/>
                  <w:tcBorders>
                    <w:top w:val="single" w:sz="4" w:space="0" w:color="000000"/>
                    <w:left w:val="single" w:sz="4" w:space="0" w:color="000000"/>
                    <w:bottom w:val="single" w:sz="4" w:space="0" w:color="000000"/>
                    <w:right w:val="single" w:sz="4" w:space="0" w:color="000000"/>
                  </w:tcBorders>
                </w:tcPr>
                <w:p w:rsidR="00BD29B2" w:rsidRDefault="00BD29B2" w:rsidP="00BD29B2">
                  <w:r>
                    <w:t>Iš viso</w:t>
                  </w:r>
                </w:p>
              </w:tc>
              <w:tc>
                <w:tcPr>
                  <w:tcW w:w="1494"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pPr>
                  <w:r>
                    <w:t>806,126</w:t>
                  </w:r>
                </w:p>
              </w:tc>
              <w:tc>
                <w:tcPr>
                  <w:tcW w:w="1438"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rPr>
                      <w:highlight w:val="yellow"/>
                    </w:rPr>
                  </w:pPr>
                  <w:r>
                    <w:t>819,599</w:t>
                  </w:r>
                </w:p>
              </w:tc>
              <w:tc>
                <w:tcPr>
                  <w:tcW w:w="1283" w:type="dxa"/>
                  <w:tcBorders>
                    <w:top w:val="single" w:sz="4" w:space="0" w:color="000000"/>
                    <w:left w:val="single" w:sz="4" w:space="0" w:color="000000"/>
                    <w:bottom w:val="single" w:sz="4" w:space="0" w:color="000000"/>
                    <w:right w:val="single" w:sz="4" w:space="0" w:color="000000"/>
                  </w:tcBorders>
                </w:tcPr>
                <w:p w:rsidR="00BD29B2" w:rsidRDefault="00BD29B2" w:rsidP="00BD29B2">
                  <w:pPr>
                    <w:jc w:val="center"/>
                    <w:rPr>
                      <w:highlight w:val="yellow"/>
                    </w:rPr>
                  </w:pPr>
                  <w:r>
                    <w:t>98,4</w:t>
                  </w:r>
                </w:p>
              </w:tc>
              <w:tc>
                <w:tcPr>
                  <w:tcW w:w="3113" w:type="dxa"/>
                  <w:tcBorders>
                    <w:top w:val="single" w:sz="4" w:space="0" w:color="000000"/>
                    <w:left w:val="single" w:sz="4" w:space="0" w:color="000000"/>
                    <w:bottom w:val="single" w:sz="4" w:space="0" w:color="000000"/>
                    <w:right w:val="single" w:sz="4" w:space="0" w:color="000000"/>
                  </w:tcBorders>
                </w:tcPr>
                <w:p w:rsidR="00BD29B2" w:rsidRDefault="00BD29B2" w:rsidP="00BD29B2"/>
              </w:tc>
            </w:tr>
            <w:tr w:rsidR="00BD29B2" w:rsidTr="00185C67">
              <w:tc>
                <w:tcPr>
                  <w:tcW w:w="5168" w:type="dxa"/>
                  <w:gridSpan w:val="3"/>
                  <w:tcBorders>
                    <w:top w:val="single" w:sz="4" w:space="0" w:color="000000"/>
                    <w:left w:val="single" w:sz="4" w:space="0" w:color="000000"/>
                    <w:bottom w:val="single" w:sz="4" w:space="0" w:color="000000"/>
                    <w:right w:val="single" w:sz="4" w:space="0" w:color="000000"/>
                  </w:tcBorders>
                </w:tcPr>
                <w:p w:rsidR="00BD29B2" w:rsidRDefault="00BD29B2" w:rsidP="00BD29B2">
                  <w:r>
                    <w:t xml:space="preserve">Kreditinis įsiskolinimas (pagal visus finansavimo šaltinius) 2022 m. sausio 1 d. </w:t>
                  </w:r>
                  <w:r>
                    <w:rPr>
                      <w:rFonts w:ascii="SimSun" w:eastAsia="SimSun" w:hAnsi="SimSun" w:cs="SimSun"/>
                    </w:rPr>
                    <w:t>－</w:t>
                  </w:r>
                  <w:r>
                    <w:t xml:space="preserve"> 26,90 eurų</w:t>
                  </w:r>
                </w:p>
              </w:tc>
              <w:tc>
                <w:tcPr>
                  <w:tcW w:w="1283" w:type="dxa"/>
                  <w:tcBorders>
                    <w:top w:val="single" w:sz="4" w:space="0" w:color="000000"/>
                    <w:left w:val="single" w:sz="4" w:space="0" w:color="000000"/>
                    <w:bottom w:val="single" w:sz="4" w:space="0" w:color="000000"/>
                    <w:right w:val="single" w:sz="4" w:space="0" w:color="000000"/>
                  </w:tcBorders>
                </w:tcPr>
                <w:p w:rsidR="00BD29B2" w:rsidRDefault="00BD29B2" w:rsidP="00BD29B2"/>
              </w:tc>
              <w:tc>
                <w:tcPr>
                  <w:tcW w:w="3113" w:type="dxa"/>
                  <w:tcBorders>
                    <w:top w:val="single" w:sz="4" w:space="0" w:color="000000"/>
                    <w:left w:val="single" w:sz="4" w:space="0" w:color="000000"/>
                    <w:bottom w:val="single" w:sz="4" w:space="0" w:color="000000"/>
                    <w:right w:val="single" w:sz="4" w:space="0" w:color="000000"/>
                  </w:tcBorders>
                </w:tcPr>
                <w:p w:rsidR="00BD29B2" w:rsidRDefault="00BD29B2" w:rsidP="00BD29B2">
                  <w:r>
                    <w:t>Paslaugų tiekėjai (UAB „Telia“ ir AB „Lietuvos paštas“) sąskaitas už gruodžio mėnesį išrašo tik kito mėnesio (sausio) pradžioje</w:t>
                  </w:r>
                </w:p>
              </w:tc>
            </w:tr>
          </w:tbl>
          <w:p w:rsidR="00BD29B2" w:rsidRDefault="00BD29B2" w:rsidP="00BD29B2">
            <w:pPr>
              <w:ind w:right="-22" w:firstLine="603"/>
              <w:jc w:val="both"/>
            </w:pPr>
            <w:r>
              <w:t>Centre 2021 m. buvo atlikti patikrinimai:</w:t>
            </w:r>
          </w:p>
          <w:p w:rsidR="00BD29B2" w:rsidRDefault="00BD29B2" w:rsidP="00BD29B2">
            <w:pPr>
              <w:tabs>
                <w:tab w:val="left" w:pos="420"/>
              </w:tabs>
              <w:ind w:right="-22" w:firstLine="590"/>
              <w:jc w:val="both"/>
            </w:pPr>
            <w:r>
              <w:t xml:space="preserve">Klaipėdos valstybinės maisto ir veterinarijos tarnybos dėl Geros higienos praktikos audito, produktų tinkamumo vartoti terminų, laikymo sąlygų, savikontrolės sistemos, personalo higienos, </w:t>
            </w:r>
            <w:proofErr w:type="spellStart"/>
            <w:r>
              <w:t>biocidinių</w:t>
            </w:r>
            <w:proofErr w:type="spellEnd"/>
            <w:r>
              <w:t xml:space="preserve"> produktų naudojimo, kokybės, higienos, ženklinimo kontrolės. Maisto tvarkyme pažeidimų nenustatyta.</w:t>
            </w:r>
          </w:p>
          <w:p w:rsidR="00BD29B2" w:rsidRDefault="00BD29B2" w:rsidP="00BD29B2">
            <w:pPr>
              <w:tabs>
                <w:tab w:val="left" w:pos="420"/>
              </w:tabs>
              <w:ind w:right="-22" w:firstLine="590"/>
              <w:jc w:val="both"/>
            </w:pPr>
            <w:r>
              <w:t>Klaipėdos priešgaisrinės gelbėjimo valdybos priešgaisrinis techninis patikrinimas. Esama gaisrinio vandentiekio sistema neatitinka priešgaisrinės apsaugos reikalavimų. Magistralinis vamzdis iki gaisrinių čiaupų yra skirtingo diametro, negu gaisriniuose čiaupuose esantys vamzdžiai. Siekiant užtikrinti priešgaisrinę saugą, nurodyta suprojektuoti ir atlikti priešgaisrinio vandentiekio vamzdyno rekonstrukciją, įrengiant naują priešgaisrinio vandentiekio vamzdį, rekonstruojant 6 gaisrinius čiaupus. Vadovaujantis Klaipėdos priešgaisrinės gelbėjimo valdybos patikrinimo aktais, pateikti raštai Klaipėdos savivaldybės administracijai dėl priešgaisrinio vandentiekio vamzdyno rekonstrukcijos. Nurodymas neįvykdytas, nes neskirta lėšų gaisrinio vandentiekio sistemai rekonstruoti.</w:t>
            </w:r>
          </w:p>
          <w:p w:rsidR="00847975" w:rsidRPr="00EA1450" w:rsidRDefault="00BD29B2" w:rsidP="00EA1450">
            <w:pPr>
              <w:ind w:right="-22" w:firstLine="603"/>
              <w:jc w:val="both"/>
            </w:pPr>
            <w:r>
              <w:t>2021 m. Centre liko neišspręstos tokios išorės faktorių sąlygotos problemos: Centro pastatas yra eksploatuojamas nuo 1969 metų ir nuo to laiko nebuvo renovuotas fasadas. Reikalingi darbai, gerinantys pastato būklę. Dėl esamos fasado ir stogo būklės mažėja statinio šilumos izoliacija. Patalpų oro temperatūros parametrai šaltuoju metų laikotarpiu neatitinka Lietuvos higienos normos HN 75:2016 „Ikimokyklinio ir priešmokyklinio ugdymo programų vykdymo bendrieji sveikatos saugos reikalavimai”. Dalyje vidaus patalpų antrame aukšte susidėvėjęs apatinis ir viršutinis grindų paklotas, todėl grindys girgžda, linguoja, nėra grindų stabilumo. Yra fiziškai nusidėvėjusi įstaigos teritoriją juosianti vielos tinklo tvora, vartai ir varteliai. Bloga pastato ir tvoros bei vartų būklė turi neigiamą įtaką Centro įvaizdžiui, kaip švietimo pagalbos institucijai.</w:t>
            </w:r>
          </w:p>
        </w:tc>
      </w:tr>
    </w:tbl>
    <w:p w:rsidR="00BD29B2" w:rsidRDefault="00BD29B2" w:rsidP="00933678">
      <w:pPr>
        <w:ind w:firstLine="709"/>
        <w:jc w:val="both"/>
      </w:pPr>
    </w:p>
    <w:p w:rsidR="00933678" w:rsidRPr="00832CC9" w:rsidRDefault="00847975" w:rsidP="00933678">
      <w:pPr>
        <w:ind w:firstLine="709"/>
        <w:jc w:val="both"/>
      </w:pPr>
      <w:r>
        <w:t>Direktorė</w:t>
      </w:r>
      <w:r>
        <w:tab/>
      </w:r>
      <w:r w:rsidR="00F737A9">
        <w:t xml:space="preserve"> </w:t>
      </w:r>
      <w:r w:rsidR="00F737A9">
        <w:tab/>
      </w:r>
      <w:r w:rsidR="00F737A9">
        <w:tab/>
      </w:r>
      <w:r w:rsidR="00F737A9">
        <w:tab/>
      </w:r>
      <w:r w:rsidR="00BD29B2">
        <w:t xml:space="preserve">Laima </w:t>
      </w:r>
      <w:proofErr w:type="spellStart"/>
      <w:r w:rsidR="00BD29B2">
        <w:t>Glaveckienė</w:t>
      </w:r>
      <w:proofErr w:type="spellEnd"/>
      <w:r w:rsidR="00933678">
        <w:tab/>
      </w:r>
      <w:r w:rsidR="00933678">
        <w:tab/>
      </w:r>
    </w:p>
    <w:sectPr w:rsidR="00933678"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61EBC">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F24DB"/>
    <w:multiLevelType w:val="hybridMultilevel"/>
    <w:tmpl w:val="53EC108A"/>
    <w:lvl w:ilvl="0" w:tplc="42CE5DE2">
      <w:start w:val="690"/>
      <w:numFmt w:val="bullet"/>
      <w:lvlText w:val="–"/>
      <w:lvlJc w:val="left"/>
      <w:pPr>
        <w:ind w:left="780" w:hanging="360"/>
      </w:pPr>
      <w:rPr>
        <w:rFonts w:ascii="Times New Roman" w:eastAsia="Times New Roman" w:hAnsi="Times New Roman"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 w15:restartNumberingAfterBreak="0">
    <w:nsid w:val="33B14D2D"/>
    <w:multiLevelType w:val="multilevel"/>
    <w:tmpl w:val="33B14D2D"/>
    <w:lvl w:ilvl="0">
      <w:start w:val="2021"/>
      <w:numFmt w:val="bullet"/>
      <w:lvlText w:val="–"/>
      <w:lvlJc w:val="left"/>
      <w:pPr>
        <w:ind w:left="945" w:hanging="360"/>
      </w:pPr>
      <w:rPr>
        <w:rFonts w:ascii="Times New Roman" w:eastAsia="Times New Roman" w:hAnsi="Times New Roman" w:cs="Times New Roman" w:hint="default"/>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2" w15:restartNumberingAfterBreak="0">
    <w:nsid w:val="670C08F3"/>
    <w:multiLevelType w:val="hybridMultilevel"/>
    <w:tmpl w:val="56DA756E"/>
    <w:lvl w:ilvl="0" w:tplc="D480B362">
      <w:numFmt w:val="bullet"/>
      <w:lvlText w:val="–"/>
      <w:lvlJc w:val="left"/>
      <w:pPr>
        <w:ind w:left="1092" w:hanging="360"/>
      </w:pPr>
      <w:rPr>
        <w:rFonts w:ascii="Times New Roman" w:eastAsia="Times New Roman" w:hAnsi="Times New Roman" w:cs="Times New Roman" w:hint="default"/>
        <w:color w:val="000000"/>
      </w:rPr>
    </w:lvl>
    <w:lvl w:ilvl="1" w:tplc="04270003" w:tentative="1">
      <w:start w:val="1"/>
      <w:numFmt w:val="bullet"/>
      <w:lvlText w:val="o"/>
      <w:lvlJc w:val="left"/>
      <w:pPr>
        <w:ind w:left="1812" w:hanging="360"/>
      </w:pPr>
      <w:rPr>
        <w:rFonts w:ascii="Courier New" w:hAnsi="Courier New" w:cs="Courier New" w:hint="default"/>
      </w:rPr>
    </w:lvl>
    <w:lvl w:ilvl="2" w:tplc="04270005" w:tentative="1">
      <w:start w:val="1"/>
      <w:numFmt w:val="bullet"/>
      <w:lvlText w:val=""/>
      <w:lvlJc w:val="left"/>
      <w:pPr>
        <w:ind w:left="2532" w:hanging="360"/>
      </w:pPr>
      <w:rPr>
        <w:rFonts w:ascii="Wingdings" w:hAnsi="Wingdings" w:hint="default"/>
      </w:rPr>
    </w:lvl>
    <w:lvl w:ilvl="3" w:tplc="04270001" w:tentative="1">
      <w:start w:val="1"/>
      <w:numFmt w:val="bullet"/>
      <w:lvlText w:val=""/>
      <w:lvlJc w:val="left"/>
      <w:pPr>
        <w:ind w:left="3252" w:hanging="360"/>
      </w:pPr>
      <w:rPr>
        <w:rFonts w:ascii="Symbol" w:hAnsi="Symbol" w:hint="default"/>
      </w:rPr>
    </w:lvl>
    <w:lvl w:ilvl="4" w:tplc="04270003" w:tentative="1">
      <w:start w:val="1"/>
      <w:numFmt w:val="bullet"/>
      <w:lvlText w:val="o"/>
      <w:lvlJc w:val="left"/>
      <w:pPr>
        <w:ind w:left="3972" w:hanging="360"/>
      </w:pPr>
      <w:rPr>
        <w:rFonts w:ascii="Courier New" w:hAnsi="Courier New" w:cs="Courier New" w:hint="default"/>
      </w:rPr>
    </w:lvl>
    <w:lvl w:ilvl="5" w:tplc="04270005" w:tentative="1">
      <w:start w:val="1"/>
      <w:numFmt w:val="bullet"/>
      <w:lvlText w:val=""/>
      <w:lvlJc w:val="left"/>
      <w:pPr>
        <w:ind w:left="4692" w:hanging="360"/>
      </w:pPr>
      <w:rPr>
        <w:rFonts w:ascii="Wingdings" w:hAnsi="Wingdings" w:hint="default"/>
      </w:rPr>
    </w:lvl>
    <w:lvl w:ilvl="6" w:tplc="04270001" w:tentative="1">
      <w:start w:val="1"/>
      <w:numFmt w:val="bullet"/>
      <w:lvlText w:val=""/>
      <w:lvlJc w:val="left"/>
      <w:pPr>
        <w:ind w:left="5412" w:hanging="360"/>
      </w:pPr>
      <w:rPr>
        <w:rFonts w:ascii="Symbol" w:hAnsi="Symbol" w:hint="default"/>
      </w:rPr>
    </w:lvl>
    <w:lvl w:ilvl="7" w:tplc="04270003" w:tentative="1">
      <w:start w:val="1"/>
      <w:numFmt w:val="bullet"/>
      <w:lvlText w:val="o"/>
      <w:lvlJc w:val="left"/>
      <w:pPr>
        <w:ind w:left="6132" w:hanging="360"/>
      </w:pPr>
      <w:rPr>
        <w:rFonts w:ascii="Courier New" w:hAnsi="Courier New" w:cs="Courier New" w:hint="default"/>
      </w:rPr>
    </w:lvl>
    <w:lvl w:ilvl="8" w:tplc="04270005" w:tentative="1">
      <w:start w:val="1"/>
      <w:numFmt w:val="bullet"/>
      <w:lvlText w:val=""/>
      <w:lvlJc w:val="left"/>
      <w:pPr>
        <w:ind w:left="6852"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61EBC"/>
    <w:rsid w:val="0019615E"/>
    <w:rsid w:val="001E1F63"/>
    <w:rsid w:val="0034183E"/>
    <w:rsid w:val="0034601C"/>
    <w:rsid w:val="004476DD"/>
    <w:rsid w:val="00514BEE"/>
    <w:rsid w:val="00597EE8"/>
    <w:rsid w:val="005B434A"/>
    <w:rsid w:val="005F495C"/>
    <w:rsid w:val="00832CC9"/>
    <w:rsid w:val="008354D5"/>
    <w:rsid w:val="00847975"/>
    <w:rsid w:val="008E6E82"/>
    <w:rsid w:val="00933678"/>
    <w:rsid w:val="00AF7D08"/>
    <w:rsid w:val="00B750B6"/>
    <w:rsid w:val="00BD29B2"/>
    <w:rsid w:val="00C57681"/>
    <w:rsid w:val="00CA4D3B"/>
    <w:rsid w:val="00D42B72"/>
    <w:rsid w:val="00D57F27"/>
    <w:rsid w:val="00E33871"/>
    <w:rsid w:val="00E56A73"/>
    <w:rsid w:val="00E70628"/>
    <w:rsid w:val="00EA1450"/>
    <w:rsid w:val="00F03CFC"/>
    <w:rsid w:val="00F1275A"/>
    <w:rsid w:val="00F72A1E"/>
    <w:rsid w:val="00F737A9"/>
    <w:rsid w:val="00FC7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2BCD7"/>
  <w15:docId w15:val="{925CA976-A836-42EC-8085-FB1316309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33678"/>
    <w:pPr>
      <w:keepNext/>
      <w:outlineLvl w:val="0"/>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933678"/>
    <w:rPr>
      <w:rFonts w:ascii="Times New Roman" w:eastAsia="Times New Roman" w:hAnsi="Times New Roman" w:cs="Times New Roman"/>
      <w:i/>
      <w:iCs/>
      <w:sz w:val="24"/>
      <w:szCs w:val="24"/>
    </w:rPr>
  </w:style>
  <w:style w:type="character" w:styleId="Hipersaitas">
    <w:name w:val="Hyperlink"/>
    <w:basedOn w:val="Numatytasispastraiposriftas"/>
    <w:uiPriority w:val="99"/>
    <w:unhideWhenUsed/>
    <w:rsid w:val="001E1F63"/>
    <w:rPr>
      <w:color w:val="0000FF" w:themeColor="hyperlink"/>
      <w:u w:val="single"/>
    </w:rPr>
  </w:style>
  <w:style w:type="paragraph" w:styleId="Sraopastraipa">
    <w:name w:val="List Paragraph"/>
    <w:basedOn w:val="prastasis"/>
    <w:uiPriority w:val="34"/>
    <w:qFormat/>
    <w:rsid w:val="00847975"/>
    <w:pPr>
      <w:spacing w:after="160" w:line="259" w:lineRule="auto"/>
      <w:ind w:left="720"/>
      <w:contextualSpacing/>
    </w:pPr>
    <w:rPr>
      <w:rFonts w:ascii="Calibri" w:eastAsia="Calibri" w:hAnsi="Calibri" w:cs="Calibri"/>
      <w:sz w:val="22"/>
      <w:szCs w:val="22"/>
    </w:rPr>
  </w:style>
  <w:style w:type="table" w:customStyle="1" w:styleId="Style30">
    <w:name w:val="_Style 30"/>
    <w:basedOn w:val="prastojilentel"/>
    <w:rsid w:val="00BD29B2"/>
    <w:pPr>
      <w:spacing w:after="0" w:line="240" w:lineRule="auto"/>
    </w:pPr>
    <w:rPr>
      <w:rFonts w:ascii="Times New Roman" w:eastAsia="Times New Roman" w:hAnsi="Times New Roman" w:cs="Times New Roman"/>
      <w:sz w:val="20"/>
      <w:szCs w:val="20"/>
      <w:lang w:eastAsia="lt-LT"/>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6703</Words>
  <Characters>3822</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6</cp:revision>
  <dcterms:created xsi:type="dcterms:W3CDTF">2022-02-23T08:13:00Z</dcterms:created>
  <dcterms:modified xsi:type="dcterms:W3CDTF">2022-02-23T12:03:00Z</dcterms:modified>
</cp:coreProperties>
</file>